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C" w:rsidRPr="00DE6DFB" w:rsidRDefault="009E51FC" w:rsidP="009E51FC">
      <w:pPr>
        <w:pStyle w:val="Style2"/>
        <w:widowControl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Додаток № 2</w:t>
      </w:r>
    </w:p>
    <w:p w:rsidR="009E51FC" w:rsidRPr="00DE6DFB" w:rsidRDefault="009E51FC" w:rsidP="009E51FC">
      <w:pPr>
        <w:pStyle w:val="Style2"/>
        <w:widowControl/>
        <w:ind w:left="5"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 Договору про постачання</w:t>
      </w:r>
      <w:r w:rsidRPr="00DE6DFB">
        <w:rPr>
          <w:rStyle w:val="FontStyle14"/>
          <w:rFonts w:ascii="Times New Roman" w:hAnsi="Times New Roman" w:cs="Times New Roman"/>
          <w:lang w:val="uk-UA" w:eastAsia="uk-UA"/>
        </w:rPr>
        <w:br/>
        <w:t xml:space="preserve">                                                                                                                електричної енергії споживачу</w:t>
      </w:r>
    </w:p>
    <w:p w:rsidR="00F163B6" w:rsidRDefault="00F163B6" w:rsidP="009E51FC">
      <w:pPr>
        <w:jc w:val="center"/>
        <w:rPr>
          <w:lang w:val="uk-UA"/>
        </w:rPr>
      </w:pPr>
    </w:p>
    <w:p w:rsidR="009E51FC" w:rsidRPr="00ED0A4B" w:rsidRDefault="009E51FC" w:rsidP="009E51FC">
      <w:pPr>
        <w:pStyle w:val="Style3"/>
        <w:widowControl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КОМЕРЦІЙНА ПРОПОЗИЦІЯ </w:t>
      </w:r>
      <w:r w:rsidR="000E07B8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№ 2 </w:t>
      </w:r>
      <w:bookmarkStart w:id="0" w:name="_GoBack"/>
      <w:bookmarkEnd w:id="0"/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>«КЛІЄНТ» д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ля споживачів, які не відносяться до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br/>
        <w:t>сегменту ринку, обов'язки постачання якому покладені на Постачальника</w:t>
      </w:r>
    </w:p>
    <w:p w:rsidR="009E51FC" w:rsidRPr="00ED0A4B" w:rsidRDefault="009E51FC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універсальної послуги</w:t>
      </w:r>
    </w:p>
    <w:tbl>
      <w:tblPr>
        <w:tblW w:w="10109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7440"/>
      </w:tblGrid>
      <w:tr w:rsidR="009E51FC" w:rsidRPr="00ED0A4B" w:rsidTr="007F25E6">
        <w:trPr>
          <w:trHeight w:hRule="exact" w:val="252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ind w:left="86" w:right="53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Критерії, яким має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відповідати особа,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що обирає дану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пропозицію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особа є власником (користувачем) об'єкта;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наявний   облік   еле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ктричної   енергії   забезпечує можливість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застосування ці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 (тарифів), передбачених даною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комерційною пропозицією;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споживач приєднався до умов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 споживача про надання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послуг з розподілу (передачі) електричної енергії;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перехід прав та обов'язків до нового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власника (користувача) об'єкта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договорами,   укладеними  ві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дповідно до  Правил роздрібного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ринку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не потребує додаткових узгоджень.</w:t>
            </w:r>
          </w:p>
        </w:tc>
      </w:tr>
      <w:tr w:rsidR="009E51FC" w:rsidRPr="00445BB5" w:rsidTr="007F25E6">
        <w:trPr>
          <w:trHeight w:hRule="exact" w:val="444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ind w:left="874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Ціна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   електричної    енергії    у    розрахунковому  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здійснюється   за   прогнозованою   ці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ною   (тарифом)   за   1кВт*год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Постачальника, яка визначається за формулою: Ц=1,1*ОРЦ, де: ОРЦ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оптова ринкова ціна, за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тверджена НКРЕКП на відповідний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унковий період з урахування ПДВ. Фактична ціна (тариф)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купованої Споживачем електроенергі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ї у розрахунковому періоді,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зазначається в акті-купівлі продажу електроенергії розрахо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вуються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(визначають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ся) Постачальником за формулою: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81301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="00445BB5"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)*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 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фактична   вартість   куп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івлі   Постачальником   обсягів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Споживача у ДП «Енер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горинок» з урахуванням ПДВ,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визначається  як  сума  добутків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погодинних  обсягів  споживання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 Споживачем та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фактичної ціни години за кожну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годину кожної доби розрахункового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періоду з урахуванням розподілу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небалансів та акциз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ного податку ДП «Енергоринок»;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–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фактичні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обсяги споживання електроенер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гії Споживачем у розрахунковому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періоді,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коефіцієнт прибут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ковості Постачальника. Для цієї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комерційної пропозиції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1,032</w:t>
            </w:r>
          </w:p>
        </w:tc>
      </w:tr>
      <w:tr w:rsidR="009E51FC" w:rsidRPr="00ED0A4B" w:rsidTr="007F25E6">
        <w:trPr>
          <w:trHeight w:hRule="exact" w:val="5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ED0A4B" w:rsidP="00ED0A4B">
            <w:pPr>
              <w:pStyle w:val="Style5"/>
              <w:widowControl/>
              <w:ind w:right="17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Територія 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здійснення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ліцензованої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діяльності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0471A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обмежена</w:t>
            </w:r>
          </w:p>
        </w:tc>
      </w:tr>
      <w:tr w:rsidR="009E51FC" w:rsidRPr="00ED0A4B" w:rsidTr="00445BB5">
        <w:trPr>
          <w:trHeight w:hRule="exact" w:val="6369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BB5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Спосіб оплати</w:t>
            </w: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9E51FC" w:rsidRPr="00445BB5" w:rsidRDefault="009E51FC" w:rsidP="00445BB5">
            <w:pPr>
              <w:rPr>
                <w:lang w:val="uk-UA" w:eastAsia="uk-UA"/>
              </w:rPr>
            </w:pP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електричної енергії зд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ійснюється споживачем плановими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платежами за наступним графіком:</w:t>
            </w:r>
          </w:p>
          <w:p w:rsidR="00445BB5" w:rsidRPr="00445BB5" w:rsidRDefault="00445BB5" w:rsidP="00445BB5">
            <w:pPr>
              <w:pStyle w:val="Style1"/>
              <w:numPr>
                <w:ilvl w:val="0"/>
                <w:numId w:val="1"/>
              </w:num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 24 числа місяця, що передує розрахунковому 50% вартості</w:t>
            </w:r>
          </w:p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заявлених обсягів на розрахунковий місяць з урахуванням ПДВ;</w:t>
            </w:r>
          </w:p>
          <w:p w:rsidR="00445BB5" w:rsidRPr="00445BB5" w:rsidRDefault="00445BB5" w:rsidP="00445BB5">
            <w:pPr>
              <w:pStyle w:val="Style1"/>
              <w:numPr>
                <w:ilvl w:val="0"/>
                <w:numId w:val="1"/>
              </w:num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 5 числа розрахункового місяця - 50% вартості заявлених обсягів на</w:t>
            </w:r>
          </w:p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розрахунковий місяць з урахуванням ПДВ;</w:t>
            </w:r>
          </w:p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 остаточним розрахунком, що пр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оводиться за фактично відпущену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електричну енергію згідно з даними комерційного обліку.</w:t>
            </w:r>
          </w:p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Планові платежі здійснюються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до 24 числа місяця, що передує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розрахунковому та до 5 числа розр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ахункового місяця   у розмірах,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кожний    з    яких    визначається 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 за    наступною    формулою: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0 = 0,5*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*Ц , де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proofErr w:type="spellEnd"/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- заявле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ні споживачем обсяги споживання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на розрахунковий період , Ц - прог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нозована ціна (тариф), механізм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визначення якої вказаний у розділі «Цін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а» цієї комерційної пропозиції.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Оплата здійснюється  на  рахунок 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Постачальника зазначений у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Договорі або розрахункових документах.</w:t>
            </w:r>
          </w:p>
          <w:p w:rsidR="00445BB5" w:rsidRPr="00445BB5" w:rsidRDefault="00445BB5" w:rsidP="00445BB5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переплати/недоплати Споживача, яка виникла в наслідок різниці</w:t>
            </w:r>
          </w:p>
          <w:p w:rsidR="009E51FC" w:rsidRPr="00ED0A4B" w:rsidRDefault="00445BB5" w:rsidP="00445BB5">
            <w:pPr>
              <w:pStyle w:val="Style1"/>
              <w:widowControl/>
              <w:ind w:hanging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між Ц та </w:t>
            </w:r>
            <w:proofErr w:type="spellStart"/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факт</w:t>
            </w:r>
            <w:proofErr w:type="spellEnd"/>
            <w:r w:rsidRP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визначається після завершення розрахункового періоду.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Сума переплати Споживача, за вибором Споживача, може бути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зарахована в якості оплати наступного розрахункового періоду, або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повертається Постачальником на розрахунковий рахунок Споживача.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Сума недоплати Споживача підлягає безумовній оплаті Споживачем не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пізніше 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5 </w:t>
            </w:r>
            <w:r w:rsidRPr="00445BB5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робочих днів з дня отримання рахунку.</w:t>
            </w:r>
          </w:p>
        </w:tc>
      </w:tr>
      <w:tr w:rsidR="009E51FC" w:rsidRPr="00ED0A4B" w:rsidTr="007F25E6">
        <w:trPr>
          <w:trHeight w:hRule="exact" w:val="25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Коригування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разі необхідності Споживач може скорегувати заявлений обсяг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купівлі електроенергії до 15-го числа (включно) розрахункового місяця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 наступних умов: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скорегований місячний обсяг купованої електричної енергії не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повинен відрізнятись більш ніж на 15% в бік збільшення від початкового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заявленого обсягу купівлі електроенергії;</w:t>
            </w:r>
          </w:p>
          <w:p w:rsidR="009E51FC" w:rsidRPr="00ED0A4B" w:rsidRDefault="00C97F4D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 xml:space="preserve">забезпечення Споживачем оплати за куповану електричну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енергію відповідно до умов розділу «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Спосіб оплати» цієї комерційної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пропозиції з урахуванням скоригованого обсягу.</w:t>
            </w:r>
          </w:p>
        </w:tc>
      </w:tr>
      <w:tr w:rsidR="009E51FC" w:rsidRPr="00ED0A4B" w:rsidTr="007F25E6">
        <w:trPr>
          <w:trHeight w:hRule="exact" w:val="98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Термін надання </w:t>
            </w:r>
            <w:r w:rsid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рахунку за спожиту електричну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енергію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та термін його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рахунка Постачальника за Договором має бути здійснена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Споживачем у строки, визначені в рахунку, але не більше 5 робочих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днів від дати його отримання Споживачем.</w:t>
            </w:r>
          </w:p>
        </w:tc>
      </w:tr>
      <w:tr w:rsidR="009E51FC" w:rsidRPr="00ED0A4B" w:rsidTr="007F25E6">
        <w:trPr>
          <w:trHeight w:hRule="exact" w:val="142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пені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порушення строку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 та/або штраф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внесення платежів, передбачених умовами Договору, з порушенням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термінів,   визначених  цією  комерційною  пропозицією,   Споживач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сплачує Постачальнику пеню у розмірі подвійної облікової ставки НБУ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 суми заборгованості за кожний день прострочення платежу,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враховуючи день фактичної оплати.</w:t>
            </w:r>
          </w:p>
        </w:tc>
      </w:tr>
      <w:tr w:rsidR="009E51FC" w:rsidRPr="00ED0A4B" w:rsidTr="007F25E6">
        <w:trPr>
          <w:trHeight w:hRule="exact" w:val="7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Штраф за дострокове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припинення дії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Відсутній.</w:t>
            </w:r>
          </w:p>
        </w:tc>
      </w:tr>
      <w:tr w:rsidR="009E51FC" w:rsidRPr="00ED0A4B" w:rsidTr="007F25E6">
        <w:trPr>
          <w:trHeight w:hRule="exact" w:val="7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Можливість надання пільг,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субсидій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9E51FC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надаються.</w:t>
            </w:r>
          </w:p>
        </w:tc>
      </w:tr>
      <w:tr w:rsidR="009E51FC" w:rsidRPr="00ED0A4B" w:rsidTr="007F25E6">
        <w:trPr>
          <w:trHeight w:hRule="exact" w:val="154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компенсації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недодержання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Постачальником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комерційної якості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послуг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Компенсація за недотримання постачальником комерційної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надання послуг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адається у порядку та розмірі,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визначеному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Регулятором.</w:t>
            </w:r>
          </w:p>
        </w:tc>
      </w:tr>
      <w:tr w:rsidR="009E51FC" w:rsidRPr="00ED0A4B" w:rsidTr="007F25E6">
        <w:trPr>
          <w:trHeight w:hRule="exact" w:val="36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Термін дії 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84D73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Договір набирає чинності з дня наступного за днем отримання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ТОВАРИСТВОМ 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ОБМЕЖЕНОЮ   ВІПОВІДАЛЬНІСТЮ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«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ПРОМАТОМ»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заяви-приєднання Споживача до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умов договору про  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  енергії   споживачу,   в   якій   вказано   про   обрання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</w:r>
            <w:r w:rsidR="00C97F4D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Комерційної пропозиції №2</w:t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якщо протягом трьох робочих днів,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не буде повідомлено про невідповідність його критеріям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обраної комерційної пропозиції. Договір діє до моменту початку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постачання електричної енергії споживачу іншим Постачальником.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разі, якщо на момент подання заяви-приєднання до Договору на об'єкт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Споживача        було        припинено/призупинено       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або наданн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я послуг з розподілу (передачі)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енергії, то постачання зд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ійснюється після відновлення, 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встановленому законодавством порядку, надання відповідних послуг.</w:t>
            </w:r>
          </w:p>
        </w:tc>
      </w:tr>
      <w:tr w:rsidR="009E51FC" w:rsidRPr="00ED0A4B" w:rsidTr="007F25E6">
        <w:trPr>
          <w:trHeight w:hRule="exact" w:val="59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послуг з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передачі/розподілу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84D73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Споживач здійснює плату за послугу з розподілу/передачі електричної енергії через Постачальника</w:t>
            </w:r>
          </w:p>
        </w:tc>
      </w:tr>
      <w:tr w:rsidR="009E51FC" w:rsidRPr="00ED0A4B" w:rsidTr="007F25E6">
        <w:trPr>
          <w:trHeight w:hRule="exact" w:val="385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Інші умови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Інформування Споживача, з яким укладено Договір, про зміни в умовах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Договору, про закінчення терміну дії, зміну тарифів, суми до сплати по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рахунках, виставлених згідно з умовами Договору, строки їх оплати,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 відключення за несплачену заборгованість, іншу інформацію, яка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стосується взаємовідносин Сторін або може бути корисною для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Споживача, може здійснюватися шляхом направлення відповідної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Їнформації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: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через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особистий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кабінет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офіційному сайті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Постачальника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мережі Інтернет,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 засобами електронного зв'язку на електронну адресу вказану у заяві-приєднання до умов договору,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СМС-повідомленням на номер, зазначений у заяві-приєднання до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умов договору,</w:t>
            </w:r>
          </w:p>
          <w:p w:rsidR="00DE6DFB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в центрах обслуговування споживачів,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тощо.</w:t>
            </w:r>
          </w:p>
        </w:tc>
      </w:tr>
    </w:tbl>
    <w:p w:rsidR="009E51FC" w:rsidRPr="009E51FC" w:rsidRDefault="009E51FC" w:rsidP="007F25E6">
      <w:pPr>
        <w:jc w:val="both"/>
      </w:pPr>
    </w:p>
    <w:sectPr w:rsidR="009E51FC" w:rsidRPr="009E51FC" w:rsidSect="00A22A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F34"/>
    <w:multiLevelType w:val="hybridMultilevel"/>
    <w:tmpl w:val="E0EEB714"/>
    <w:lvl w:ilvl="0" w:tplc="243A4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C"/>
    <w:rsid w:val="000E07B8"/>
    <w:rsid w:val="003445E9"/>
    <w:rsid w:val="00445BB5"/>
    <w:rsid w:val="00784D73"/>
    <w:rsid w:val="007F25E6"/>
    <w:rsid w:val="0081301B"/>
    <w:rsid w:val="009E51FC"/>
    <w:rsid w:val="00A22A0E"/>
    <w:rsid w:val="00BE0DA5"/>
    <w:rsid w:val="00C97F4D"/>
    <w:rsid w:val="00DE6DFB"/>
    <w:rsid w:val="00ED0A4B"/>
    <w:rsid w:val="00F1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51FC"/>
    <w:rPr>
      <w:rFonts w:ascii="Trebuchet MS" w:hAnsi="Trebuchet MS" w:cs="Trebuchet MS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51FC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FC"/>
    <w:rPr>
      <w:rFonts w:ascii="Trebuchet MS" w:hAnsi="Trebuchet MS" w:cs="Trebuchet MS"/>
      <w:color w:val="000000"/>
      <w:sz w:val="12"/>
      <w:szCs w:val="12"/>
    </w:rPr>
  </w:style>
  <w:style w:type="paragraph" w:customStyle="1" w:styleId="Style7">
    <w:name w:val="Style7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2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17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45BB5"/>
    <w:rPr>
      <w:rFonts w:ascii="Trebuchet MS" w:hAnsi="Trebuchet MS" w:cs="Trebuchet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slukash</cp:lastModifiedBy>
  <cp:revision>7</cp:revision>
  <dcterms:created xsi:type="dcterms:W3CDTF">2018-12-14T09:37:00Z</dcterms:created>
  <dcterms:modified xsi:type="dcterms:W3CDTF">2018-12-14T11:50:00Z</dcterms:modified>
</cp:coreProperties>
</file>